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8D972" w14:textId="77777777" w:rsidR="0030496B" w:rsidRDefault="0030496B" w:rsidP="0030496B"/>
    <w:p w14:paraId="00F2DF74" w14:textId="45B05F67" w:rsidR="0030496B" w:rsidRPr="007A35A5" w:rsidRDefault="0030496B" w:rsidP="00E636A9">
      <w:pPr>
        <w:spacing w:after="120"/>
        <w:rPr>
          <w:b/>
          <w:bCs/>
          <w:color w:val="356AA6"/>
          <w:sz w:val="36"/>
          <w:szCs w:val="36"/>
        </w:rPr>
      </w:pPr>
      <w:r w:rsidRPr="007A35A5">
        <w:rPr>
          <w:b/>
          <w:bCs/>
          <w:color w:val="356AA6"/>
          <w:sz w:val="36"/>
          <w:szCs w:val="36"/>
        </w:rPr>
        <w:t>Amplicon Pro</w:t>
      </w:r>
    </w:p>
    <w:p w14:paraId="00731B3E" w14:textId="77777777" w:rsidR="0030496B" w:rsidRDefault="0030496B" w:rsidP="004B4F2F">
      <w:pPr>
        <w:spacing w:before="80" w:after="120"/>
      </w:pPr>
      <w:r>
        <w:t xml:space="preserve">Amplicon Pro generates full-length raw reads that correspond to intact amplicon molecules. By using Oxford Nanopore’s latest library preparation chemistry and R10.4.1 flow cell technology, this service enables accurate characterization of complex amplicon mixtures.  </w:t>
      </w:r>
    </w:p>
    <w:p w14:paraId="30E20C9A" w14:textId="594B84B3" w:rsidR="0030496B" w:rsidRDefault="0030496B" w:rsidP="004B4F2F">
      <w:pPr>
        <w:spacing w:before="80" w:after="120"/>
      </w:pPr>
      <w:r>
        <w:t>Amplicon Pro is well suited for applications requiring resolution of heterogeneous amplicon populations, including pooled amplicons, variant libraries, and mixed PCR products. Multiple distinct consensus sequences can be generated per sample.</w:t>
      </w:r>
    </w:p>
    <w:p w14:paraId="6B0A42F7" w14:textId="77777777" w:rsidR="0030496B" w:rsidRPr="00AF1C81" w:rsidRDefault="0030496B" w:rsidP="00AF1C81">
      <w:pPr>
        <w:spacing w:before="240" w:after="120"/>
        <w:rPr>
          <w:b/>
          <w:bCs/>
          <w:color w:val="356AA6"/>
          <w:sz w:val="36"/>
          <w:szCs w:val="36"/>
        </w:rPr>
      </w:pPr>
      <w:r w:rsidRPr="00AF1C81">
        <w:rPr>
          <w:b/>
          <w:bCs/>
          <w:color w:val="356AA6"/>
          <w:sz w:val="36"/>
          <w:szCs w:val="36"/>
        </w:rPr>
        <w:t>Library Preparation</w:t>
      </w:r>
    </w:p>
    <w:p w14:paraId="40513CB7" w14:textId="1FD3F234" w:rsidR="0030496B" w:rsidRDefault="0030496B" w:rsidP="004B4F2F">
      <w:pPr>
        <w:spacing w:before="80" w:after="120"/>
      </w:pPr>
      <w:r>
        <w:t>Our library preparation workflow begins with end-repair of amplicon DNA to ensure compatibility with ligation-based barcoding. Barcodes are then attached to the DNA ends using Oxford Nanopore's ligation-based chemistry, allowing samples to be multiplexed and sequenced on an Oxford Nanopore R10.4.1 flow cell.</w:t>
      </w:r>
    </w:p>
    <w:p w14:paraId="079311F3" w14:textId="77777777" w:rsidR="0030496B" w:rsidRPr="00AF1C81" w:rsidRDefault="0030496B" w:rsidP="00AF1C81">
      <w:pPr>
        <w:spacing w:before="240" w:after="120"/>
        <w:rPr>
          <w:b/>
          <w:bCs/>
          <w:color w:val="356AA6"/>
          <w:sz w:val="36"/>
          <w:szCs w:val="36"/>
        </w:rPr>
      </w:pPr>
      <w:r w:rsidRPr="00AF1C81">
        <w:rPr>
          <w:b/>
          <w:bCs/>
          <w:color w:val="356AA6"/>
          <w:sz w:val="36"/>
          <w:szCs w:val="36"/>
        </w:rPr>
        <w:t>Bioinformatics Analysis</w:t>
      </w:r>
    </w:p>
    <w:p w14:paraId="3024461C" w14:textId="77777777" w:rsidR="0030496B" w:rsidRDefault="0030496B" w:rsidP="004B4F2F">
      <w:pPr>
        <w:spacing w:before="80" w:after="120"/>
      </w:pPr>
      <w:r>
        <w:t>After sequencing is complete, raw reads are basecalled using the latest Dorado Super Accuracy model. These high-accuracy reads are processed through our analysis pipeline, where they are grouped into multiple high-confidence consensus sequences, each representing a distinct amplicon population within the sample.</w:t>
      </w:r>
    </w:p>
    <w:p w14:paraId="7AA267CD" w14:textId="77777777" w:rsidR="0030496B" w:rsidRDefault="0030496B" w:rsidP="004B4F2F">
      <w:pPr>
        <w:spacing w:before="80" w:after="120"/>
      </w:pPr>
      <w:r>
        <w:t xml:space="preserve">Once processing is complete, all results are uploaded to our secure customer portal, and you will receive an email notification when your data is ready. Details of all deliverables are outlined below.   </w:t>
      </w:r>
    </w:p>
    <w:p w14:paraId="43751630" w14:textId="77777777" w:rsidR="0030496B" w:rsidRPr="00AF1C81" w:rsidRDefault="0030496B" w:rsidP="00AF1C81">
      <w:pPr>
        <w:spacing w:before="240" w:after="120"/>
        <w:rPr>
          <w:b/>
          <w:bCs/>
          <w:color w:val="356AA6"/>
          <w:sz w:val="36"/>
          <w:szCs w:val="36"/>
        </w:rPr>
      </w:pPr>
      <w:r w:rsidRPr="00AF1C81">
        <w:rPr>
          <w:b/>
          <w:bCs/>
          <w:color w:val="356AA6"/>
          <w:sz w:val="36"/>
          <w:szCs w:val="36"/>
        </w:rPr>
        <w:t>Deliverables</w:t>
      </w:r>
    </w:p>
    <w:p w14:paraId="7DE10CDF" w14:textId="77777777" w:rsidR="0030496B" w:rsidRPr="003F1491" w:rsidRDefault="0030496B" w:rsidP="003F1491">
      <w:pPr>
        <w:spacing w:before="240" w:after="120"/>
        <w:rPr>
          <w:b/>
          <w:bCs/>
          <w:sz w:val="24"/>
        </w:rPr>
      </w:pPr>
      <w:r w:rsidRPr="003F1491">
        <w:rPr>
          <w:b/>
          <w:bCs/>
          <w:sz w:val="24"/>
        </w:rPr>
        <w:t>Sequence Files</w:t>
      </w:r>
    </w:p>
    <w:p w14:paraId="3DB7B442" w14:textId="3FD309A9" w:rsidR="0030496B" w:rsidRPr="00B947CE" w:rsidRDefault="0030496B" w:rsidP="003C3832">
      <w:pPr>
        <w:pStyle w:val="ae"/>
        <w:numPr>
          <w:ilvl w:val="0"/>
          <w:numId w:val="7"/>
        </w:numPr>
        <w:spacing w:before="80" w:after="120"/>
        <w:ind w:firstLineChars="0"/>
        <w:rPr>
          <w:sz w:val="24"/>
          <w:szCs w:val="32"/>
        </w:rPr>
      </w:pPr>
      <w:r w:rsidRPr="00B947CE">
        <w:rPr>
          <w:sz w:val="24"/>
          <w:szCs w:val="32"/>
        </w:rPr>
        <w:t>FASTA file</w:t>
      </w:r>
    </w:p>
    <w:p w14:paraId="4B8B1B85" w14:textId="77777777" w:rsidR="0030496B" w:rsidRDefault="0030496B" w:rsidP="003F1491">
      <w:pPr>
        <w:spacing w:before="80" w:after="120"/>
        <w:ind w:firstLineChars="200" w:firstLine="420"/>
      </w:pPr>
      <w:r>
        <w:t>A text-based file containing the final consensus DNA sequence.</w:t>
      </w:r>
    </w:p>
    <w:p w14:paraId="32ABAB76" w14:textId="3D4FD02A" w:rsidR="0030496B" w:rsidRPr="00B947CE" w:rsidRDefault="0030496B" w:rsidP="003F1491">
      <w:pPr>
        <w:pStyle w:val="ae"/>
        <w:numPr>
          <w:ilvl w:val="0"/>
          <w:numId w:val="7"/>
        </w:numPr>
        <w:spacing w:before="80" w:after="120"/>
        <w:ind w:firstLineChars="0"/>
        <w:rPr>
          <w:sz w:val="24"/>
          <w:szCs w:val="32"/>
        </w:rPr>
      </w:pPr>
      <w:r w:rsidRPr="00B947CE">
        <w:rPr>
          <w:sz w:val="24"/>
          <w:szCs w:val="32"/>
        </w:rPr>
        <w:t>GenBank file</w:t>
      </w:r>
    </w:p>
    <w:p w14:paraId="7EDDA827" w14:textId="77777777" w:rsidR="0030496B" w:rsidRDefault="0030496B" w:rsidP="003F1491">
      <w:pPr>
        <w:spacing w:before="80" w:after="120"/>
        <w:ind w:firstLineChars="200" w:firstLine="420"/>
      </w:pPr>
      <w:r>
        <w:t>Includes the consensus sequence along with annotated genetic features.</w:t>
      </w:r>
    </w:p>
    <w:p w14:paraId="1888DBA7" w14:textId="7175F05F" w:rsidR="0030496B" w:rsidRPr="00B947CE" w:rsidRDefault="0030496B" w:rsidP="003F1491">
      <w:pPr>
        <w:pStyle w:val="ae"/>
        <w:numPr>
          <w:ilvl w:val="0"/>
          <w:numId w:val="7"/>
        </w:numPr>
        <w:spacing w:before="80" w:after="120"/>
        <w:ind w:firstLineChars="0"/>
        <w:rPr>
          <w:sz w:val="24"/>
          <w:szCs w:val="32"/>
        </w:rPr>
      </w:pPr>
      <w:r w:rsidRPr="00B947CE">
        <w:rPr>
          <w:sz w:val="24"/>
          <w:szCs w:val="32"/>
        </w:rPr>
        <w:t>AB1 file</w:t>
      </w:r>
    </w:p>
    <w:p w14:paraId="555F5655" w14:textId="77777777" w:rsidR="0030496B" w:rsidRDefault="0030496B" w:rsidP="003F1491">
      <w:pPr>
        <w:spacing w:before="80" w:after="120"/>
        <w:ind w:leftChars="200" w:left="420"/>
      </w:pPr>
      <w:r>
        <w:t>A Sanger-style chromatogram view of the consensus sequence, allowing visualization of variants and low-confidence positions. Each peak color corresponds to a specific nucleotide.</w:t>
      </w:r>
    </w:p>
    <w:p w14:paraId="457FCB5A" w14:textId="54800351" w:rsidR="0030496B" w:rsidRPr="00B947CE" w:rsidRDefault="0030496B" w:rsidP="003F1491">
      <w:pPr>
        <w:pStyle w:val="ae"/>
        <w:numPr>
          <w:ilvl w:val="0"/>
          <w:numId w:val="7"/>
        </w:numPr>
        <w:spacing w:before="80" w:after="120"/>
        <w:ind w:firstLineChars="0"/>
        <w:rPr>
          <w:sz w:val="24"/>
          <w:szCs w:val="32"/>
        </w:rPr>
      </w:pPr>
      <w:r w:rsidRPr="00B947CE">
        <w:rPr>
          <w:sz w:val="24"/>
          <w:szCs w:val="32"/>
        </w:rPr>
        <w:t>Multi-FASTA file</w:t>
      </w:r>
    </w:p>
    <w:p w14:paraId="52A918AE" w14:textId="77777777" w:rsidR="0030496B" w:rsidRDefault="0030496B" w:rsidP="003F1491">
      <w:pPr>
        <w:spacing w:before="80" w:after="120"/>
        <w:ind w:firstLineChars="200" w:firstLine="420"/>
      </w:pPr>
      <w:r>
        <w:t>A combined FASTA file containing all consensus sequences generated from the same sample.</w:t>
      </w:r>
    </w:p>
    <w:p w14:paraId="19E659BA" w14:textId="77777777" w:rsidR="003F1491" w:rsidRPr="003F1491" w:rsidRDefault="003F1491" w:rsidP="003F1491">
      <w:pPr>
        <w:spacing w:before="240" w:after="120"/>
        <w:rPr>
          <w:b/>
          <w:bCs/>
          <w:szCs w:val="21"/>
        </w:rPr>
      </w:pPr>
    </w:p>
    <w:p w14:paraId="3C24B503" w14:textId="0A9BE67F" w:rsidR="0030496B" w:rsidRPr="003F1491" w:rsidRDefault="0030496B" w:rsidP="003F1491">
      <w:pPr>
        <w:spacing w:after="120"/>
        <w:rPr>
          <w:b/>
          <w:bCs/>
          <w:sz w:val="24"/>
        </w:rPr>
      </w:pPr>
      <w:r w:rsidRPr="003F1491">
        <w:rPr>
          <w:b/>
          <w:bCs/>
          <w:sz w:val="24"/>
        </w:rPr>
        <w:t>Read-Level Data</w:t>
      </w:r>
    </w:p>
    <w:p w14:paraId="6740F9D9" w14:textId="09959F88" w:rsidR="0030496B" w:rsidRPr="00D6015D" w:rsidRDefault="0030496B" w:rsidP="003F1491">
      <w:pPr>
        <w:pStyle w:val="ae"/>
        <w:numPr>
          <w:ilvl w:val="0"/>
          <w:numId w:val="7"/>
        </w:numPr>
        <w:spacing w:before="80" w:after="120"/>
        <w:ind w:firstLineChars="0"/>
        <w:rPr>
          <w:sz w:val="24"/>
          <w:szCs w:val="32"/>
        </w:rPr>
      </w:pPr>
      <w:r w:rsidRPr="00D6015D">
        <w:rPr>
          <w:sz w:val="24"/>
          <w:szCs w:val="32"/>
        </w:rPr>
        <w:t>Per-base data file</w:t>
      </w:r>
    </w:p>
    <w:p w14:paraId="42BDD7CB" w14:textId="77777777" w:rsidR="0030496B" w:rsidRDefault="0030496B" w:rsidP="003F1491">
      <w:pPr>
        <w:spacing w:before="80" w:after="120"/>
        <w:ind w:leftChars="200" w:left="420"/>
      </w:pPr>
      <w:r>
        <w:t xml:space="preserve">Provides a detailed breakdown of how individual raw reads support each base in the consensus sequence. This file is used to generate the AB1 chromatogram.    </w:t>
      </w:r>
    </w:p>
    <w:p w14:paraId="080C580C" w14:textId="2749C2F1" w:rsidR="0030496B" w:rsidRPr="00D6015D" w:rsidRDefault="0030496B" w:rsidP="003F1491">
      <w:pPr>
        <w:pStyle w:val="ae"/>
        <w:numPr>
          <w:ilvl w:val="0"/>
          <w:numId w:val="7"/>
        </w:numPr>
        <w:spacing w:before="80" w:after="120"/>
        <w:ind w:firstLineChars="0"/>
        <w:rPr>
          <w:sz w:val="24"/>
          <w:szCs w:val="32"/>
        </w:rPr>
      </w:pPr>
      <w:r w:rsidRPr="00D6015D">
        <w:rPr>
          <w:sz w:val="24"/>
          <w:szCs w:val="32"/>
        </w:rPr>
        <w:t>Alignment file</w:t>
      </w:r>
    </w:p>
    <w:p w14:paraId="5C9A7AE8" w14:textId="77777777" w:rsidR="0030496B" w:rsidRDefault="0030496B" w:rsidP="003F1491">
      <w:pPr>
        <w:spacing w:before="80" w:after="120"/>
        <w:ind w:leftChars="200" w:left="420"/>
      </w:pPr>
      <w:r>
        <w:t>Displays the alignment of raw reads to the consensus sequence, enabling evaluation of sequencing data at a molecular level.</w:t>
      </w:r>
    </w:p>
    <w:p w14:paraId="2D69F91D" w14:textId="3096550C" w:rsidR="0030496B" w:rsidRPr="00D6015D" w:rsidRDefault="0030496B" w:rsidP="003F1491">
      <w:pPr>
        <w:pStyle w:val="ae"/>
        <w:numPr>
          <w:ilvl w:val="0"/>
          <w:numId w:val="7"/>
        </w:numPr>
        <w:spacing w:before="80" w:after="120"/>
        <w:ind w:firstLineChars="0"/>
        <w:rPr>
          <w:sz w:val="24"/>
          <w:szCs w:val="32"/>
        </w:rPr>
      </w:pPr>
      <w:r w:rsidRPr="00D6015D">
        <w:rPr>
          <w:sz w:val="24"/>
          <w:szCs w:val="32"/>
        </w:rPr>
        <w:t>FASTQ file</w:t>
      </w:r>
    </w:p>
    <w:p w14:paraId="5586976A" w14:textId="77777777" w:rsidR="0030496B" w:rsidRDefault="0030496B" w:rsidP="003F1491">
      <w:pPr>
        <w:spacing w:before="80" w:after="120"/>
        <w:ind w:firstLineChars="200" w:firstLine="420"/>
      </w:pPr>
      <w:r>
        <w:t>Contains all raw sequencing reads generated for your sample.</w:t>
      </w:r>
    </w:p>
    <w:p w14:paraId="276B9B18" w14:textId="77777777" w:rsidR="0030496B" w:rsidRPr="003F1491" w:rsidRDefault="0030496B" w:rsidP="003F1491">
      <w:pPr>
        <w:spacing w:before="240" w:after="120"/>
        <w:rPr>
          <w:b/>
          <w:bCs/>
          <w:color w:val="356AA6"/>
          <w:sz w:val="36"/>
          <w:szCs w:val="36"/>
        </w:rPr>
      </w:pPr>
      <w:r w:rsidRPr="003F1491">
        <w:rPr>
          <w:b/>
          <w:bCs/>
          <w:color w:val="356AA6"/>
          <w:sz w:val="36"/>
          <w:szCs w:val="36"/>
        </w:rPr>
        <w:t>Report(s)</w:t>
      </w:r>
    </w:p>
    <w:p w14:paraId="6629BC89" w14:textId="2C2459B6" w:rsidR="0030496B" w:rsidRPr="00D6015D" w:rsidRDefault="0030496B" w:rsidP="003F1491">
      <w:pPr>
        <w:pStyle w:val="ae"/>
        <w:numPr>
          <w:ilvl w:val="0"/>
          <w:numId w:val="7"/>
        </w:numPr>
        <w:spacing w:before="80" w:after="120"/>
        <w:ind w:firstLineChars="0"/>
        <w:rPr>
          <w:sz w:val="24"/>
          <w:szCs w:val="32"/>
        </w:rPr>
      </w:pPr>
      <w:r w:rsidRPr="00D6015D">
        <w:rPr>
          <w:sz w:val="24"/>
          <w:szCs w:val="32"/>
        </w:rPr>
        <w:t>Variant summary file</w:t>
      </w:r>
    </w:p>
    <w:p w14:paraId="6A32C549" w14:textId="77777777" w:rsidR="0030496B" w:rsidRDefault="0030496B" w:rsidP="003F1491">
      <w:pPr>
        <w:spacing w:before="80" w:after="120"/>
        <w:ind w:leftChars="200" w:left="420"/>
      </w:pPr>
      <w:r>
        <w:t>A table summarizing all detected variants, including the number of reads assigned to each variant and the corresponding sequence length.</w:t>
      </w:r>
    </w:p>
    <w:p w14:paraId="38C7627A" w14:textId="0E977686" w:rsidR="0030496B" w:rsidRPr="00D6015D" w:rsidRDefault="0030496B" w:rsidP="003F1491">
      <w:pPr>
        <w:pStyle w:val="ae"/>
        <w:numPr>
          <w:ilvl w:val="0"/>
          <w:numId w:val="7"/>
        </w:numPr>
        <w:spacing w:before="80" w:after="120"/>
        <w:ind w:firstLineChars="0"/>
        <w:rPr>
          <w:sz w:val="24"/>
          <w:szCs w:val="32"/>
        </w:rPr>
      </w:pPr>
      <w:r w:rsidRPr="00D6015D">
        <w:rPr>
          <w:sz w:val="24"/>
          <w:szCs w:val="32"/>
        </w:rPr>
        <w:t>QC report file</w:t>
      </w:r>
    </w:p>
    <w:p w14:paraId="5419BDCF" w14:textId="77777777" w:rsidR="0030496B" w:rsidRDefault="0030496B" w:rsidP="003F1491">
      <w:pPr>
        <w:spacing w:before="80" w:after="120"/>
        <w:ind w:firstLineChars="200" w:firstLine="420"/>
      </w:pPr>
      <w:r>
        <w:t>A comprehensive quality control report containing key metrics and visualizations, including:</w:t>
      </w:r>
    </w:p>
    <w:p w14:paraId="7A937FB8" w14:textId="016C6B65" w:rsidR="0030496B" w:rsidRDefault="0030496B" w:rsidP="00F83315">
      <w:pPr>
        <w:pStyle w:val="ae"/>
        <w:numPr>
          <w:ilvl w:val="0"/>
          <w:numId w:val="10"/>
        </w:numPr>
        <w:spacing w:before="80" w:after="120"/>
        <w:ind w:firstLineChars="0"/>
      </w:pPr>
      <w:r>
        <w:t>Read-length histogram</w:t>
      </w:r>
    </w:p>
    <w:p w14:paraId="2C607DDC" w14:textId="77777777" w:rsidR="00F83315" w:rsidRDefault="0030496B" w:rsidP="00F83315">
      <w:pPr>
        <w:spacing w:before="80" w:after="120"/>
        <w:ind w:leftChars="400" w:left="840"/>
      </w:pPr>
      <w:r>
        <w:t>Displays the distribution of raw read lengths. A single dominant peak typically indicates a pure sample, while multiple peaks may suggest concatemers or additional DNA species.</w:t>
      </w:r>
    </w:p>
    <w:p w14:paraId="6007D4EF" w14:textId="543790E4" w:rsidR="0030496B" w:rsidRDefault="0030496B" w:rsidP="00F83315">
      <w:pPr>
        <w:pStyle w:val="ae"/>
        <w:numPr>
          <w:ilvl w:val="0"/>
          <w:numId w:val="10"/>
        </w:numPr>
        <w:spacing w:before="80" w:after="120"/>
        <w:ind w:firstLineChars="0"/>
      </w:pPr>
      <w:r>
        <w:t>Virtual gel</w:t>
      </w:r>
    </w:p>
    <w:p w14:paraId="2780CD29" w14:textId="77777777" w:rsidR="0030496B" w:rsidRDefault="0030496B" w:rsidP="00F83315">
      <w:pPr>
        <w:spacing w:before="80" w:after="120"/>
        <w:ind w:leftChars="400" w:left="840"/>
      </w:pPr>
      <w:r>
        <w:t>A simulated gel image generated from raw read data, providing an intuitive view of sample composition.</w:t>
      </w:r>
    </w:p>
    <w:p w14:paraId="134B6CCC" w14:textId="2D3FA7B1" w:rsidR="0030496B" w:rsidRDefault="0030496B" w:rsidP="00F83315">
      <w:pPr>
        <w:pStyle w:val="ae"/>
        <w:numPr>
          <w:ilvl w:val="0"/>
          <w:numId w:val="10"/>
        </w:numPr>
        <w:spacing w:before="80" w:after="120"/>
        <w:ind w:firstLineChars="0"/>
      </w:pPr>
      <w:r>
        <w:t>Additional sample metrics</w:t>
      </w:r>
    </w:p>
    <w:p w14:paraId="5B4E6071" w14:textId="4F998BDA" w:rsidR="00D918BC" w:rsidRDefault="0030496B" w:rsidP="00F83315">
      <w:pPr>
        <w:spacing w:before="80" w:after="120"/>
        <w:ind w:leftChars="400" w:left="840"/>
      </w:pPr>
      <w:r>
        <w:t>Including total reads, total bases, reads mapped to consensus, sample name, consensus length, and related statistics.</w:t>
      </w:r>
    </w:p>
    <w:p w14:paraId="3A5DED28" w14:textId="77777777" w:rsidR="004B4F2F" w:rsidRPr="004B4F2F" w:rsidRDefault="004B4F2F" w:rsidP="004B4F2F"/>
    <w:sectPr w:rsidR="004B4F2F" w:rsidRPr="004B4F2F">
      <w:headerReference w:type="default" r:id="rId9"/>
      <w:footerReference w:type="even" r:id="rId10"/>
      <w:footerReference w:type="default" r:id="rId11"/>
      <w:pgSz w:w="11906" w:h="16838"/>
      <w:pgMar w:top="1440" w:right="1440" w:bottom="1440" w:left="1440" w:header="850" w:footer="1020"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9DDB1" w14:textId="77777777" w:rsidR="001D1A05" w:rsidRDefault="001D1A05">
      <w:pPr>
        <w:spacing w:after="0"/>
      </w:pPr>
      <w:r>
        <w:separator/>
      </w:r>
    </w:p>
  </w:endnote>
  <w:endnote w:type="continuationSeparator" w:id="0">
    <w:p w14:paraId="056CAF5B" w14:textId="77777777" w:rsidR="001D1A05" w:rsidRDefault="001D1A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DIN-PRO">
    <w:panose1 w:val="020B0504030202030204"/>
    <w:charset w:val="00"/>
    <w:family w:val="swiss"/>
    <w:notTrueType/>
    <w:pitch w:val="variable"/>
    <w:sig w:usb0="8000006F" w:usb1="4000000A"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1128207594"/>
    </w:sdtPr>
    <w:sdtEndPr>
      <w:rPr>
        <w:rStyle w:val="ab"/>
      </w:rPr>
    </w:sdtEndPr>
    <w:sdtContent>
      <w:p w14:paraId="0C94FF26" w14:textId="77777777" w:rsidR="00D918BC" w:rsidRDefault="001D1A05">
        <w:pPr>
          <w:pStyle w:val="a5"/>
          <w:framePr w:wrap="auto" w:vAnchor="text" w:hAnchor="margin" w:xAlign="right" w:y="1"/>
          <w:rPr>
            <w:rStyle w:val="ab"/>
          </w:rPr>
        </w:pPr>
        <w:r>
          <w:rPr>
            <w:rStyle w:val="ab"/>
          </w:rPr>
          <w:fldChar w:fldCharType="begin"/>
        </w:r>
        <w:r>
          <w:rPr>
            <w:rStyle w:val="ab"/>
          </w:rPr>
          <w:instrText xml:space="preserve"> PAGE </w:instrText>
        </w:r>
        <w:r>
          <w:rPr>
            <w:rStyle w:val="ab"/>
          </w:rPr>
          <w:fldChar w:fldCharType="end"/>
        </w:r>
      </w:p>
    </w:sdtContent>
  </w:sdt>
  <w:p w14:paraId="4B0D1A90" w14:textId="77777777" w:rsidR="00D918BC" w:rsidRDefault="00D918B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22BB" w14:textId="77777777" w:rsidR="00D918BC" w:rsidRDefault="001D1A05">
    <w:pPr>
      <w:pStyle w:val="a5"/>
      <w:ind w:right="360"/>
    </w:pPr>
    <w:r>
      <w:rPr>
        <w:noProof/>
        <w:sz w:val="15"/>
      </w:rPr>
      <mc:AlternateContent>
        <mc:Choice Requires="wpg">
          <w:drawing>
            <wp:anchor distT="0" distB="0" distL="114300" distR="114300" simplePos="0" relativeHeight="251659264" behindDoc="0" locked="0" layoutInCell="1" allowOverlap="1" wp14:anchorId="0534CDA4" wp14:editId="55C1B124">
              <wp:simplePos x="0" y="0"/>
              <wp:positionH relativeFrom="column">
                <wp:posOffset>-24130</wp:posOffset>
              </wp:positionH>
              <wp:positionV relativeFrom="paragraph">
                <wp:posOffset>106680</wp:posOffset>
              </wp:positionV>
              <wp:extent cx="5734685" cy="254000"/>
              <wp:effectExtent l="0" t="0" r="0" b="0"/>
              <wp:wrapNone/>
              <wp:docPr id="6" name="组合 6"/>
              <wp:cNvGraphicFramePr/>
              <a:graphic xmlns:a="http://schemas.openxmlformats.org/drawingml/2006/main">
                <a:graphicData uri="http://schemas.microsoft.com/office/word/2010/wordprocessingGroup">
                  <wpg:wgp>
                    <wpg:cNvGrpSpPr/>
                    <wpg:grpSpPr>
                      <a:xfrm>
                        <a:off x="0" y="0"/>
                        <a:ext cx="5734685" cy="254000"/>
                        <a:chOff x="4120" y="16066"/>
                        <a:chExt cx="9122" cy="400"/>
                      </a:xfrm>
                    </wpg:grpSpPr>
                    <wps:wsp>
                      <wps:cNvPr id="17" name="文本框 17"/>
                      <wps:cNvSpPr txBox="1"/>
                      <wps:spPr>
                        <a:xfrm>
                          <a:off x="9146" y="16066"/>
                          <a:ext cx="4097" cy="400"/>
                        </a:xfrm>
                        <a:prstGeom prst="rect">
                          <a:avLst/>
                        </a:prstGeom>
                        <a:noFill/>
                        <a:ln w="6350">
                          <a:noFill/>
                        </a:ln>
                      </wps:spPr>
                      <wps:txbx>
                        <w:txbxContent>
                          <w:p w14:paraId="5E3D7FE1" w14:textId="77777777" w:rsidR="00D918BC" w:rsidRDefault="001D1A05">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wps:txbx>
                      <wps:bodyPr rot="0" spcFirstLastPara="0" vertOverflow="overflow" horzOverflow="overflow" vert="horz" wrap="square" lIns="0" tIns="0" rIns="0" bIns="0" numCol="1" spcCol="0" rtlCol="0" fromWordArt="0" anchor="t" anchorCtr="0" forceAA="0" compatLnSpc="1">
                        <a:noAutofit/>
                      </wps:bodyPr>
                    </wps:wsp>
                    <pic:pic xmlns:pic="http://schemas.openxmlformats.org/drawingml/2006/picture">
                      <pic:nvPicPr>
                        <pic:cNvPr id="26" name="图片 2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120" y="16181"/>
                          <a:ext cx="6629" cy="124"/>
                        </a:xfrm>
                        <a:prstGeom prst="rect">
                          <a:avLst/>
                        </a:prstGeom>
                      </pic:spPr>
                    </pic:pic>
                  </wpg:wgp>
                </a:graphicData>
              </a:graphic>
            </wp:anchor>
          </w:drawing>
        </mc:Choice>
        <mc:Fallback>
          <w:pict>
            <v:group w14:anchorId="0534CDA4" id="组合 6" o:spid="_x0000_s1028" style="position:absolute;margin-left:-1.9pt;margin-top:8.4pt;width:451.55pt;height:20pt;z-index:251659264" coordorigin="4120,16066" coordsize="912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">
              <v:shapetype id="_x0000_t202" coordsize="21600,21600" o:spt="202" path="m,l,21600r21600,l21600,xe">
                <v:stroke joinstyle="miter"/>
                <v:path gradientshapeok="t" o:connecttype="rect"/>
              </v:shapetype>
              <v:shape id="文本框 17" o:spid="_x0000_s1029" type="#_x0000_t202" style="position:absolute;left:9146;top:16066;width:4097;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" filled="f" stroked="f" strokeweight=".5pt">
                <v:textbox inset="0,0,0,0">
                  <w:txbxContent>
                    <w:p w14:paraId="5E3D7FE1" w14:textId="77777777" w:rsidR="00D918BC" w:rsidRDefault="001D1A05">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6" o:spid="_x0000_s1030" type="#_x0000_t75" style="position:absolute;left:4120;top:16181;width:66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877D0" w14:textId="77777777" w:rsidR="001D1A05" w:rsidRDefault="001D1A05">
      <w:pPr>
        <w:spacing w:after="0"/>
      </w:pPr>
      <w:r>
        <w:separator/>
      </w:r>
    </w:p>
  </w:footnote>
  <w:footnote w:type="continuationSeparator" w:id="0">
    <w:p w14:paraId="1F6B0A18" w14:textId="77777777" w:rsidR="001D1A05" w:rsidRDefault="001D1A0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FEF8" w14:textId="77777777" w:rsidR="00D918BC" w:rsidRDefault="001D1A05">
    <w:pPr>
      <w:jc w:val="right"/>
    </w:pPr>
    <w:r>
      <w:rPr>
        <w:rFonts w:ascii="微软雅黑" w:eastAsia="微软雅黑" w:hAnsi="微软雅黑"/>
        <w:noProof/>
        <w:sz w:val="13"/>
        <w:szCs w:val="13"/>
      </w:rPr>
      <w:drawing>
        <wp:anchor distT="0" distB="0" distL="114300" distR="114300" simplePos="0" relativeHeight="251661312" behindDoc="1" locked="0" layoutInCell="1" allowOverlap="1" wp14:anchorId="54E944D5" wp14:editId="14027CF8">
          <wp:simplePos x="0" y="0"/>
          <wp:positionH relativeFrom="column">
            <wp:posOffset>21590</wp:posOffset>
          </wp:positionH>
          <wp:positionV relativeFrom="paragraph">
            <wp:posOffset>63500</wp:posOffset>
          </wp:positionV>
          <wp:extent cx="1386205" cy="241300"/>
          <wp:effectExtent l="0" t="0" r="0" b="635"/>
          <wp:wrapNone/>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86000" cy="241200"/>
                  </a:xfrm>
                  <a:prstGeom prst="rect">
                    <a:avLst/>
                  </a:prstGeom>
                </pic:spPr>
              </pic:pic>
            </a:graphicData>
          </a:graphic>
        </wp:anchor>
      </w:drawing>
    </w:r>
    <w:r>
      <w:rPr>
        <w:rFonts w:ascii="微软雅黑" w:eastAsia="微软雅黑" w:hAnsi="微软雅黑"/>
        <w:noProof/>
        <w:color w:val="888889"/>
        <w:sz w:val="15"/>
        <w:szCs w:val="15"/>
      </w:rPr>
      <mc:AlternateContent>
        <mc:Choice Requires="wps">
          <w:drawing>
            <wp:anchor distT="0" distB="0" distL="114300" distR="114300" simplePos="0" relativeHeight="251662336" behindDoc="0" locked="0" layoutInCell="1" allowOverlap="1" wp14:anchorId="3E80E48D" wp14:editId="71CCC05F">
              <wp:simplePos x="0" y="0"/>
              <wp:positionH relativeFrom="column">
                <wp:posOffset>3255010</wp:posOffset>
              </wp:positionH>
              <wp:positionV relativeFrom="paragraph">
                <wp:posOffset>188595</wp:posOffset>
              </wp:positionV>
              <wp:extent cx="2538730" cy="126365"/>
              <wp:effectExtent l="0" t="0" r="1905" b="635"/>
              <wp:wrapNone/>
              <wp:docPr id="18" name="文本框 18"/>
              <wp:cNvGraphicFramePr/>
              <a:graphic xmlns:a="http://schemas.openxmlformats.org/drawingml/2006/main">
                <a:graphicData uri="http://schemas.microsoft.com/office/word/2010/wordprocessingShape">
                  <wps:wsp>
                    <wps:cNvSpPr txBox="1"/>
                    <wps:spPr>
                      <a:xfrm>
                        <a:off x="0" y="0"/>
                        <a:ext cx="2538535" cy="126610"/>
                      </a:xfrm>
                      <a:prstGeom prst="rect">
                        <a:avLst/>
                      </a:prstGeom>
                      <a:noFill/>
                      <a:ln w="6350">
                        <a:noFill/>
                      </a:ln>
                    </wps:spPr>
                    <wps:txbx>
                      <w:txbxContent>
                        <w:p w14:paraId="02B5A47F" w14:textId="77777777" w:rsidR="00D918BC" w:rsidRDefault="001D1A05">
                          <w:pPr>
                            <w:jc w:val="left"/>
                            <w:rPr>
                              <w:sz w:val="14"/>
                              <w:szCs w:val="14"/>
                            </w:rPr>
                          </w:pPr>
                          <w:r>
                            <w:rPr>
                              <w:rFonts w:ascii="微软雅黑" w:eastAsia="微软雅黑" w:hAnsi="微软雅黑"/>
                              <w:color w:val="353D68"/>
                              <w:sz w:val="14"/>
                              <w:szCs w:val="14"/>
                            </w:rPr>
                            <w:t>Tel.</w:t>
                          </w:r>
                          <w:r>
                            <w:rPr>
                              <w:rFonts w:ascii="微软雅黑" w:eastAsia="微软雅黑" w:hAnsi="微软雅黑"/>
                              <w:color w:val="888889"/>
                              <w:sz w:val="14"/>
                              <w:szCs w:val="14"/>
                            </w:rPr>
                            <w:t xml:space="preserve">   1-617-943-2768             www.quintarabio.com</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3E80E48D" id="_x0000_t202" coordsize="21600,21600" o:spt="202" path="m,l,21600r21600,l21600,xe">
              <v:stroke joinstyle="miter"/>
              <v:path gradientshapeok="t" o:connecttype="rect"/>
            </v:shapetype>
            <v:shape id="文本框 18" o:spid="_x0000_s1026" type="#_x0000_t202" style="position:absolute;left:0;text-align:left;margin-left:256.3pt;margin-top:14.85pt;width:199.9pt;height:9.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" filled="f" stroked="f" strokeweight=".5pt">
              <v:textbox inset="0,0,0,0">
                <w:txbxContent>
                  <w:p w14:paraId="02B5A47F" w14:textId="77777777" w:rsidR="00D918BC" w:rsidRDefault="001D1A05">
                    <w:pPr>
                      <w:jc w:val="left"/>
                      <w:rPr>
                        <w:sz w:val="14"/>
                        <w:szCs w:val="14"/>
                      </w:rPr>
                    </w:pPr>
                    <w:r>
                      <w:rPr>
                        <w:rFonts w:ascii="微软雅黑" w:eastAsia="微软雅黑" w:hAnsi="微软雅黑"/>
                        <w:color w:val="353D68"/>
                        <w:sz w:val="14"/>
                        <w:szCs w:val="14"/>
                      </w:rPr>
                      <w:t>Tel.</w:t>
                    </w:r>
                    <w:r>
                      <w:rPr>
                        <w:rFonts w:ascii="微软雅黑" w:eastAsia="微软雅黑" w:hAnsi="微软雅黑"/>
                        <w:color w:val="888889"/>
                        <w:sz w:val="14"/>
                        <w:szCs w:val="14"/>
                      </w:rPr>
                      <w:t xml:space="preserve">   1-617-943-2768             www.quintarabio.com</w:t>
                    </w:r>
                  </w:p>
                </w:txbxContent>
              </v:textbox>
            </v:shape>
          </w:pict>
        </mc:Fallback>
      </mc:AlternateContent>
    </w:r>
    <w:r>
      <w:rPr>
        <w:rFonts w:ascii="微软雅黑" w:eastAsia="微软雅黑" w:hAnsi="微软雅黑"/>
        <w:noProof/>
        <w:color w:val="888889"/>
        <w:sz w:val="15"/>
        <w:szCs w:val="15"/>
      </w:rPr>
      <mc:AlternateContent>
        <mc:Choice Requires="wps">
          <w:drawing>
            <wp:anchor distT="0" distB="0" distL="114300" distR="114300" simplePos="0" relativeHeight="251660288" behindDoc="0" locked="0" layoutInCell="1" allowOverlap="1" wp14:anchorId="56FD03D5" wp14:editId="4388DE04">
              <wp:simplePos x="0" y="0"/>
              <wp:positionH relativeFrom="column">
                <wp:posOffset>3185160</wp:posOffset>
              </wp:positionH>
              <wp:positionV relativeFrom="paragraph">
                <wp:posOffset>49530</wp:posOffset>
              </wp:positionV>
              <wp:extent cx="2538095" cy="126365"/>
              <wp:effectExtent l="0" t="0" r="1905" b="635"/>
              <wp:wrapNone/>
              <wp:docPr id="2" name="文本框 2"/>
              <wp:cNvGraphicFramePr/>
              <a:graphic xmlns:a="http://schemas.openxmlformats.org/drawingml/2006/main">
                <a:graphicData uri="http://schemas.microsoft.com/office/word/2010/wordprocessingShape">
                  <wps:wsp>
                    <wps:cNvSpPr txBox="1"/>
                    <wps:spPr>
                      <a:xfrm>
                        <a:off x="0" y="0"/>
                        <a:ext cx="2538095" cy="126365"/>
                      </a:xfrm>
                      <a:prstGeom prst="rect">
                        <a:avLst/>
                      </a:prstGeom>
                      <a:noFill/>
                      <a:ln w="6350">
                        <a:noFill/>
                      </a:ln>
                    </wps:spPr>
                    <wps:txbx>
                      <w:txbxContent>
                        <w:p w14:paraId="44389387" w14:textId="77777777" w:rsidR="00D918BC" w:rsidRDefault="001D1A05">
                          <w:pPr>
                            <w:jc w:val="right"/>
                            <w:rPr>
                              <w:sz w:val="14"/>
                              <w:szCs w:val="14"/>
                            </w:rPr>
                          </w:pPr>
                          <w:r>
                            <w:rPr>
                              <w:rFonts w:ascii="微软雅黑" w:eastAsia="微软雅黑" w:hAnsi="微软雅黑"/>
                              <w:color w:val="353D68"/>
                              <w:sz w:val="14"/>
                              <w:szCs w:val="14"/>
                            </w:rPr>
                            <w:t>Add.</w:t>
                          </w:r>
                          <w:r>
                            <w:rPr>
                              <w:rFonts w:ascii="微软雅黑" w:eastAsia="微软雅黑" w:hAnsi="微软雅黑"/>
                              <w:color w:val="888889"/>
                              <w:sz w:val="14"/>
                              <w:szCs w:val="14"/>
                            </w:rPr>
                            <w:t xml:space="preserve">  625 Mt Auburn St, Suite 105 Cambridge, MA 02138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56FD03D5" id="文本框 2" o:spid="_x0000_s1027" type="#_x0000_t202" style="position:absolute;left:0;text-align:left;margin-left:250.8pt;margin-top:3.9pt;width:199.85pt;height:9.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" filled="f" stroked="f" strokeweight=".5pt">
              <v:textbox inset="0,0,0,0">
                <w:txbxContent>
                  <w:p w14:paraId="44389387" w14:textId="77777777" w:rsidR="00D918BC" w:rsidRDefault="001D1A05">
                    <w:pPr>
                      <w:jc w:val="right"/>
                      <w:rPr>
                        <w:sz w:val="14"/>
                        <w:szCs w:val="14"/>
                      </w:rPr>
                    </w:pPr>
                    <w:r>
                      <w:rPr>
                        <w:rFonts w:ascii="微软雅黑" w:eastAsia="微软雅黑" w:hAnsi="微软雅黑"/>
                        <w:color w:val="353D68"/>
                        <w:sz w:val="14"/>
                        <w:szCs w:val="14"/>
                      </w:rPr>
                      <w:t>Add.</w:t>
                    </w:r>
                    <w:r>
                      <w:rPr>
                        <w:rFonts w:ascii="微软雅黑" w:eastAsia="微软雅黑" w:hAnsi="微软雅黑"/>
                        <w:color w:val="888889"/>
                        <w:sz w:val="14"/>
                        <w:szCs w:val="14"/>
                      </w:rPr>
                      <w:t xml:space="preserve">  625 Mt Auburn St, Suite 105 Cambridge, MA 02138 </w:t>
                    </w:r>
                  </w:p>
                </w:txbxContent>
              </v:textbox>
            </v:shape>
          </w:pict>
        </mc:Fallback>
      </mc:AlternateContent>
    </w:r>
    <w:r>
      <w:rPr>
        <w:rFonts w:ascii="微软雅黑" w:eastAsia="微软雅黑" w:hAnsi="微软雅黑"/>
        <w:noProof/>
        <w:color w:val="888889"/>
        <w:sz w:val="15"/>
        <w:szCs w:val="15"/>
      </w:rPr>
      <mc:AlternateContent>
        <mc:Choice Requires="wps">
          <w:drawing>
            <wp:anchor distT="0" distB="0" distL="114300" distR="114300" simplePos="0" relativeHeight="251663360" behindDoc="0" locked="0" layoutInCell="1" allowOverlap="1" wp14:anchorId="74BA1EE9" wp14:editId="2340BA38">
              <wp:simplePos x="0" y="0"/>
              <wp:positionH relativeFrom="column">
                <wp:posOffset>-105410</wp:posOffset>
              </wp:positionH>
              <wp:positionV relativeFrom="paragraph">
                <wp:posOffset>372745</wp:posOffset>
              </wp:positionV>
              <wp:extent cx="5869305" cy="5715"/>
              <wp:effectExtent l="0" t="0" r="0" b="0"/>
              <wp:wrapNone/>
              <wp:docPr id="12" name="直线连接符 12"/>
              <wp:cNvGraphicFramePr/>
              <a:graphic xmlns:a="http://schemas.openxmlformats.org/drawingml/2006/main">
                <a:graphicData uri="http://schemas.microsoft.com/office/word/2010/wordprocessingShape">
                  <wps:wsp>
                    <wps:cNvCnPr/>
                    <wps:spPr>
                      <a:xfrm>
                        <a:off x="0" y="0"/>
                        <a:ext cx="5869305" cy="5715"/>
                      </a:xfrm>
                      <a:prstGeom prst="line">
                        <a:avLst/>
                      </a:prstGeom>
                      <a:ln w="7620">
                        <a:gradFill flip="none" rotWithShape="1">
                          <a:gsLst>
                            <a:gs pos="95000">
                              <a:srgbClr val="353D68"/>
                            </a:gs>
                            <a:gs pos="41000">
                              <a:srgbClr val="3E6591"/>
                            </a:gs>
                            <a:gs pos="66002">
                              <a:srgbClr val="4B4887"/>
                            </a:gs>
                            <a:gs pos="17000">
                              <a:srgbClr val="46A58B"/>
                            </a:gs>
                          </a:gsLst>
                          <a:lin ang="1620000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BFF121" id="直线连接符 1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3pt,29.35pt" to="453.8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" strokeweight=".6pt">
              <v:stroke joinstyle="miter"/>
            </v:line>
          </w:pict>
        </mc:Fallback>
      </mc:AlternateContent>
    </w:r>
    <w:r>
      <w:rPr>
        <w:rFonts w:hint="eastAsia"/>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B66"/>
    <w:multiLevelType w:val="hybridMultilevel"/>
    <w:tmpl w:val="995CF81A"/>
    <w:lvl w:ilvl="0" w:tplc="AF98EEF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4E264FC"/>
    <w:multiLevelType w:val="hybridMultilevel"/>
    <w:tmpl w:val="020E45D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209B0B04"/>
    <w:multiLevelType w:val="multilevel"/>
    <w:tmpl w:val="AA84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21AB6"/>
    <w:multiLevelType w:val="multilevel"/>
    <w:tmpl w:val="F0E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2401BC"/>
    <w:multiLevelType w:val="multilevel"/>
    <w:tmpl w:val="8094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D71CDF"/>
    <w:multiLevelType w:val="hybridMultilevel"/>
    <w:tmpl w:val="7C6A7AD0"/>
    <w:lvl w:ilvl="0" w:tplc="5788737A">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6" w15:restartNumberingAfterBreak="0">
    <w:nsid w:val="6F973F93"/>
    <w:multiLevelType w:val="hybridMultilevel"/>
    <w:tmpl w:val="2CE6E374"/>
    <w:lvl w:ilvl="0" w:tplc="3E16379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7" w15:restartNumberingAfterBreak="0">
    <w:nsid w:val="745C4E16"/>
    <w:multiLevelType w:val="hybridMultilevel"/>
    <w:tmpl w:val="CB6A29C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746066AE"/>
    <w:multiLevelType w:val="hybridMultilevel"/>
    <w:tmpl w:val="9FE0E116"/>
    <w:lvl w:ilvl="0" w:tplc="21E2635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9DE064E"/>
    <w:multiLevelType w:val="hybridMultilevel"/>
    <w:tmpl w:val="11009C86"/>
    <w:lvl w:ilvl="0" w:tplc="5C78F20C">
      <w:start w:val="1"/>
      <w:numFmt w:val="bullet"/>
      <w:lvlText w:val=""/>
      <w:lvlJc w:val="left"/>
      <w:pPr>
        <w:ind w:left="440" w:hanging="440"/>
      </w:pPr>
      <w:rPr>
        <w:rFonts w:ascii="Symbol" w:hAnsi="Symbo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355548437">
    <w:abstractNumId w:val="1"/>
  </w:num>
  <w:num w:numId="2" w16cid:durableId="1058020388">
    <w:abstractNumId w:val="0"/>
  </w:num>
  <w:num w:numId="3" w16cid:durableId="857112342">
    <w:abstractNumId w:val="4"/>
  </w:num>
  <w:num w:numId="4" w16cid:durableId="489757621">
    <w:abstractNumId w:val="2"/>
  </w:num>
  <w:num w:numId="5" w16cid:durableId="1359232725">
    <w:abstractNumId w:val="3"/>
  </w:num>
  <w:num w:numId="6" w16cid:durableId="1457406876">
    <w:abstractNumId w:val="7"/>
  </w:num>
  <w:num w:numId="7" w16cid:durableId="2561412">
    <w:abstractNumId w:val="9"/>
  </w:num>
  <w:num w:numId="8" w16cid:durableId="2054425987">
    <w:abstractNumId w:val="8"/>
  </w:num>
  <w:num w:numId="9" w16cid:durableId="11885608">
    <w:abstractNumId w:val="5"/>
  </w:num>
  <w:num w:numId="10" w16cid:durableId="3982121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44"/>
    <w:rsid w:val="00023886"/>
    <w:rsid w:val="000B286E"/>
    <w:rsid w:val="000B6B16"/>
    <w:rsid w:val="00177DAE"/>
    <w:rsid w:val="001D1A05"/>
    <w:rsid w:val="00226636"/>
    <w:rsid w:val="002A07B0"/>
    <w:rsid w:val="002A4E7E"/>
    <w:rsid w:val="002E1D39"/>
    <w:rsid w:val="002F6F85"/>
    <w:rsid w:val="0030496B"/>
    <w:rsid w:val="0033579E"/>
    <w:rsid w:val="003B2801"/>
    <w:rsid w:val="003C3832"/>
    <w:rsid w:val="003F1491"/>
    <w:rsid w:val="004B4F2F"/>
    <w:rsid w:val="004D550E"/>
    <w:rsid w:val="005A5B86"/>
    <w:rsid w:val="00740744"/>
    <w:rsid w:val="007923A6"/>
    <w:rsid w:val="00793DBA"/>
    <w:rsid w:val="007A35A5"/>
    <w:rsid w:val="007B2B87"/>
    <w:rsid w:val="007B630A"/>
    <w:rsid w:val="008178F6"/>
    <w:rsid w:val="0084398B"/>
    <w:rsid w:val="008443D6"/>
    <w:rsid w:val="0086365E"/>
    <w:rsid w:val="008920D2"/>
    <w:rsid w:val="00897E0C"/>
    <w:rsid w:val="009C1AC9"/>
    <w:rsid w:val="009C3DAB"/>
    <w:rsid w:val="009E1696"/>
    <w:rsid w:val="009F7C50"/>
    <w:rsid w:val="00A11C20"/>
    <w:rsid w:val="00A53E62"/>
    <w:rsid w:val="00AF1C81"/>
    <w:rsid w:val="00B869EF"/>
    <w:rsid w:val="00B947CE"/>
    <w:rsid w:val="00B94CAC"/>
    <w:rsid w:val="00BF1BEA"/>
    <w:rsid w:val="00C62279"/>
    <w:rsid w:val="00CB5755"/>
    <w:rsid w:val="00CE042E"/>
    <w:rsid w:val="00D32796"/>
    <w:rsid w:val="00D6015D"/>
    <w:rsid w:val="00D90622"/>
    <w:rsid w:val="00D918BC"/>
    <w:rsid w:val="00D92365"/>
    <w:rsid w:val="00DA7586"/>
    <w:rsid w:val="00DE69D2"/>
    <w:rsid w:val="00DF2BAC"/>
    <w:rsid w:val="00E301FF"/>
    <w:rsid w:val="00E529B6"/>
    <w:rsid w:val="00E636A9"/>
    <w:rsid w:val="00EA2CC3"/>
    <w:rsid w:val="00EF70B1"/>
    <w:rsid w:val="00F501DB"/>
    <w:rsid w:val="00F77C07"/>
    <w:rsid w:val="00F81425"/>
    <w:rsid w:val="00F83315"/>
    <w:rsid w:val="00FE2B16"/>
    <w:rsid w:val="071E2D3E"/>
    <w:rsid w:val="07754928"/>
    <w:rsid w:val="10667503"/>
    <w:rsid w:val="180C6BE2"/>
    <w:rsid w:val="1AB23A71"/>
    <w:rsid w:val="1BF105C9"/>
    <w:rsid w:val="23900846"/>
    <w:rsid w:val="26F15921"/>
    <w:rsid w:val="27A110F5"/>
    <w:rsid w:val="39387BAF"/>
    <w:rsid w:val="3B787F67"/>
    <w:rsid w:val="43364990"/>
    <w:rsid w:val="44953938"/>
    <w:rsid w:val="4AFA2747"/>
    <w:rsid w:val="51FC4FF6"/>
    <w:rsid w:val="52666914"/>
    <w:rsid w:val="54104D89"/>
    <w:rsid w:val="5A955FE8"/>
    <w:rsid w:val="5F4955F3"/>
    <w:rsid w:val="62522A10"/>
    <w:rsid w:val="64DE67DD"/>
    <w:rsid w:val="65AE4402"/>
    <w:rsid w:val="6F0D763F"/>
    <w:rsid w:val="70950698"/>
    <w:rsid w:val="727468EE"/>
    <w:rsid w:val="7FE40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1B52E"/>
  <w15:docId w15:val="{073E4AF0-2EE1-4F99-B574-A10B82C8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80"/>
      <w:jc w:val="both"/>
    </w:pPr>
    <w:rPr>
      <w:kern w:val="2"/>
      <w:sz w:val="21"/>
      <w:szCs w:val="2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9">
    <w:name w:val="heading 9"/>
    <w:basedOn w:val="a"/>
    <w:next w:val="a"/>
    <w:link w:val="90"/>
    <w:uiPriority w:val="9"/>
    <w:semiHidden/>
    <w:unhideWhenUsed/>
    <w:qFormat/>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Pr>
      <w:rFonts w:asciiTheme="minorEastAsia" w:hAnsi="Courier New" w:cs="Courier New"/>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Subtitle"/>
    <w:basedOn w:val="a"/>
    <w:next w:val="a"/>
    <w:link w:val="aa"/>
    <w:uiPriority w:val="11"/>
    <w:qFormat/>
    <w:pPr>
      <w:spacing w:before="240" w:after="60" w:line="312" w:lineRule="auto"/>
      <w:jc w:val="center"/>
      <w:outlineLvl w:val="1"/>
    </w:pPr>
    <w:rPr>
      <w:b/>
      <w:bCs/>
      <w:kern w:val="28"/>
      <w:sz w:val="32"/>
      <w:szCs w:val="32"/>
    </w:rPr>
  </w:style>
  <w:style w:type="character" w:styleId="ab">
    <w:name w:val="page number"/>
    <w:basedOn w:val="a0"/>
    <w:uiPriority w:val="99"/>
    <w:semiHidden/>
    <w:unhideWhenUsed/>
  </w:style>
  <w:style w:type="character" w:customStyle="1" w:styleId="3">
    <w:name w:val="标题3"/>
    <w:basedOn w:val="a0"/>
    <w:uiPriority w:val="1"/>
    <w:qFormat/>
    <w:rPr>
      <w:rFonts w:ascii="微软雅黑" w:eastAsia="微软雅黑" w:hAnsi="微软雅黑"/>
      <w:b/>
      <w:color w:val="005AAF"/>
      <w:sz w:val="24"/>
      <w:szCs w:val="17"/>
    </w:rPr>
  </w:style>
  <w:style w:type="paragraph" w:customStyle="1" w:styleId="1">
    <w:name w:val="样式1"/>
    <w:basedOn w:val="a"/>
    <w:qFormat/>
    <w:pPr>
      <w:widowControl/>
      <w:spacing w:line="720" w:lineRule="auto"/>
      <w:ind w:leftChars="-5" w:left="-9" w:hanging="1"/>
      <w:jc w:val="left"/>
    </w:pPr>
    <w:rPr>
      <w:rFonts w:ascii="微软雅黑" w:eastAsia="微软雅黑" w:hAnsi="微软雅黑"/>
      <w:b/>
      <w:bCs/>
      <w:color w:val="005AAF"/>
      <w:sz w:val="28"/>
      <w:szCs w:val="28"/>
    </w:rPr>
  </w:style>
  <w:style w:type="character" w:customStyle="1" w:styleId="90">
    <w:name w:val="标题 9 字符"/>
    <w:basedOn w:val="a0"/>
    <w:link w:val="9"/>
    <w:uiPriority w:val="9"/>
    <w:semiHidden/>
    <w:qFormat/>
    <w:rPr>
      <w:rFonts w:asciiTheme="majorHAnsi" w:eastAsiaTheme="majorEastAsia" w:hAnsiTheme="majorHAnsi" w:cstheme="majorBidi"/>
      <w:szCs w:val="21"/>
    </w:rPr>
  </w:style>
  <w:style w:type="paragraph" w:customStyle="1" w:styleId="ac">
    <w:name w:val="图表标题"/>
    <w:basedOn w:val="a9"/>
    <w:qFormat/>
    <w:pPr>
      <w:spacing w:before="0" w:after="0"/>
    </w:pPr>
    <w:rPr>
      <w:rFonts w:eastAsia="微软雅黑"/>
      <w:b w:val="0"/>
      <w:color w:val="005AAF"/>
      <w:sz w:val="17"/>
    </w:rPr>
  </w:style>
  <w:style w:type="character" w:customStyle="1" w:styleId="aa">
    <w:name w:val="副标题 字符"/>
    <w:basedOn w:val="a0"/>
    <w:link w:val="a9"/>
    <w:uiPriority w:val="11"/>
    <w:qFormat/>
    <w:rPr>
      <w:b/>
      <w:bCs/>
      <w:kern w:val="28"/>
      <w:sz w:val="32"/>
      <w:szCs w:val="32"/>
    </w:rPr>
  </w:style>
  <w:style w:type="paragraph" w:customStyle="1" w:styleId="ad">
    <w:name w:val="正文内容"/>
    <w:basedOn w:val="a"/>
    <w:next w:val="a3"/>
    <w:qFormat/>
    <w:pPr>
      <w:widowControl/>
      <w:spacing w:beforeLines="25" w:before="78" w:afterLines="25" w:after="78"/>
      <w:ind w:leftChars="-6" w:left="-12" w:hanging="1"/>
      <w:jc w:val="left"/>
    </w:pPr>
    <w:rPr>
      <w:rFonts w:ascii="微软雅黑" w:eastAsia="微软雅黑" w:hAnsi="微软雅黑"/>
      <w:bCs/>
      <w:color w:val="0D0D0D" w:themeColor="text1" w:themeTint="F2"/>
      <w:sz w:val="18"/>
    </w:rPr>
  </w:style>
  <w:style w:type="character" w:customStyle="1" w:styleId="a4">
    <w:name w:val="纯文本 字符"/>
    <w:basedOn w:val="a0"/>
    <w:link w:val="a3"/>
    <w:uiPriority w:val="99"/>
    <w:semiHidden/>
    <w:qFormat/>
    <w:rPr>
      <w:rFonts w:asciiTheme="minorEastAsia" w:hAnsi="Courier New" w:cs="Courier New"/>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e">
    <w:name w:val="List Paragraph"/>
    <w:basedOn w:val="a"/>
    <w:uiPriority w:val="34"/>
    <w:qFormat/>
    <w:pPr>
      <w:ind w:firstLineChars="200" w:firstLine="420"/>
    </w:p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DIN-PRO">
      <a:majorFont>
        <a:latin typeface="D-DIN-PRO"/>
        <a:ea typeface="等线 Light"/>
        <a:cs typeface=""/>
      </a:majorFont>
      <a:minorFont>
        <a:latin typeface="D-DIN-PRO"/>
        <a:ea typeface="等线"/>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E77D41-5332-774B-83BB-7B70638FB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450</Words>
  <Characters>2568</Characters>
  <Application>Microsoft Office Word</Application>
  <DocSecurity>0</DocSecurity>
  <Lines>21</Lines>
  <Paragraphs>6</Paragraphs>
  <ScaleCrop>false</ScaleCrop>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Xinran Zheng</cp:lastModifiedBy>
  <cp:revision>25</cp:revision>
  <dcterms:created xsi:type="dcterms:W3CDTF">2025-01-08T06:44:00Z</dcterms:created>
  <dcterms:modified xsi:type="dcterms:W3CDTF">2026-04-07T05:19:00Z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eyJoZGlkIjoiZTQwNDRjMmY0YjM0M2NiZWM2MzU0ZTFlMzdjMzJkZGMiLCJ1c2VySWQiOiI3NzQ3OTM1MzUifQ==</vt:lpwstr>
  </property>
  <property fmtid="{D5CDD505-2E9C-101B-9397-08002B2CF9AE}" pid="3" name="KSOProductBuildVer">
    <vt:lpwstr>2052-12.1.0.19770</vt:lpwstr>
  </property>
  <property fmtid="{D5CDD505-2E9C-101B-9397-08002B2CF9AE}" pid="4" name="ICV">
    <vt:lpwstr>D12BD482C93B4ABABB10AE01A611CE80_12</vt:lpwstr>
  </property>
</Properties>
</file>